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rebuchetMS,Bold-OneByteIdentit" w:hAnsi="TrebuchetMS,Bold-OneByteIdentit" w:cs="TrebuchetMS,Bold-OneByteIdentit"/>
          <w:b/>
          <w:bCs/>
          <w:sz w:val="44"/>
          <w:szCs w:val="44"/>
        </w:rPr>
      </w:pPr>
      <w:r>
        <w:rPr>
          <w:rFonts w:ascii="TrebuchetMS,Bold-OneByteIdentit" w:hAnsi="TrebuchetMS,Bold-OneByteIdentit" w:cs="TrebuchetMS,Bold-OneByteIdentit"/>
          <w:b/>
          <w:bCs/>
          <w:sz w:val="44"/>
          <w:szCs w:val="44"/>
        </w:rPr>
        <w:t>Bollettino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32"/>
          <w:szCs w:val="32"/>
        </w:rPr>
      </w:pPr>
      <w:r>
        <w:rPr>
          <w:rFonts w:ascii="TrebuchetMS-OneByteIdentityH" w:hAnsi="TrebuchetMS-OneByteIdentityH" w:cs="TrebuchetMS-OneByteIdentityH"/>
          <w:sz w:val="32"/>
          <w:szCs w:val="32"/>
        </w:rPr>
        <w:t>Settimanale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24"/>
          <w:szCs w:val="24"/>
        </w:rPr>
      </w:pPr>
      <w:r>
        <w:rPr>
          <w:rFonts w:ascii="TrebuchetMS-OneByteIdentityH" w:hAnsi="TrebuchetMS-OneByteIdentityH" w:cs="TrebuchetMS-OneByteIdentityH"/>
          <w:sz w:val="24"/>
          <w:szCs w:val="24"/>
        </w:rPr>
        <w:t>Anno XXVII - n. 20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rebuchetMS,BoldItalic-OneByteI" w:hAnsi="TrebuchetMS,BoldItalic-OneByteI" w:cs="TrebuchetMS,BoldItalic-OneByteI"/>
          <w:b/>
          <w:bCs/>
          <w:i/>
          <w:iCs/>
          <w:sz w:val="24"/>
          <w:szCs w:val="24"/>
        </w:rPr>
      </w:pPr>
      <w:r>
        <w:rPr>
          <w:rFonts w:ascii="TrebuchetMS,Bold-OneByteIdentit" w:hAnsi="TrebuchetMS,Bold-OneByteIdentit" w:cs="TrebuchetMS,Bold-OneByteIdentit"/>
          <w:b/>
          <w:bCs/>
          <w:sz w:val="24"/>
          <w:szCs w:val="24"/>
        </w:rPr>
        <w:t xml:space="preserve">Pubblicato sul sito </w:t>
      </w:r>
      <w:r>
        <w:rPr>
          <w:rFonts w:ascii="TrebuchetMS,BoldItalic-OneByteI" w:hAnsi="TrebuchetMS,BoldItalic-OneByteI" w:cs="TrebuchetMS,BoldItalic-OneByteI"/>
          <w:b/>
          <w:bCs/>
          <w:i/>
          <w:iCs/>
          <w:sz w:val="24"/>
          <w:szCs w:val="24"/>
        </w:rPr>
        <w:t>www.agcm.it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24"/>
          <w:szCs w:val="24"/>
        </w:rPr>
      </w:pPr>
      <w:r>
        <w:rPr>
          <w:rFonts w:ascii="TrebuchetMS-OneByteIdentityH" w:hAnsi="TrebuchetMS-OneByteIdentityH" w:cs="TrebuchetMS-OneByteIdentityH"/>
          <w:sz w:val="24"/>
          <w:szCs w:val="24"/>
        </w:rPr>
        <w:t>29 maggio 2017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24"/>
          <w:szCs w:val="24"/>
        </w:rPr>
      </w:pP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rebuchetMS,Bold-OneByteIdentit" w:hAnsi="TrebuchetMS,Bold-OneByteIdentit" w:cs="TrebuchetMS,Bold-OneByteIdentit"/>
          <w:b/>
          <w:bCs/>
          <w:sz w:val="24"/>
          <w:szCs w:val="24"/>
        </w:rPr>
      </w:pPr>
      <w:r>
        <w:rPr>
          <w:rFonts w:ascii="TrebuchetMS,Bold-OneByteIdentit" w:hAnsi="TrebuchetMS,Bold-OneByteIdentit" w:cs="TrebuchetMS,Bold-OneByteIdentit"/>
          <w:b/>
          <w:bCs/>
          <w:sz w:val="24"/>
          <w:szCs w:val="24"/>
        </w:rPr>
        <w:t>SOMMARIO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20"/>
          <w:szCs w:val="20"/>
        </w:rPr>
      </w:pPr>
      <w:r>
        <w:rPr>
          <w:rFonts w:ascii="TrebuchetMS-OneByteIdentityH" w:hAnsi="TrebuchetMS-OneByteIdentityH" w:cs="TrebuchetMS-OneByteIdentityH"/>
          <w:sz w:val="20"/>
          <w:szCs w:val="20"/>
        </w:rPr>
        <w:t>INTESE E ABUSO DI POSIZIONE DOMINANTE 5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6"/>
          <w:szCs w:val="16"/>
        </w:rPr>
      </w:pPr>
      <w:r>
        <w:rPr>
          <w:rFonts w:ascii="Times-Bold" w:hAnsi="Times-Bold" w:cs="Times-Bold"/>
          <w:b/>
          <w:bCs/>
          <w:sz w:val="16"/>
          <w:szCs w:val="16"/>
        </w:rPr>
        <w:t>A495 - GARA TPL PADOVA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Provvedimento n. 26610 5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6"/>
          <w:szCs w:val="16"/>
        </w:rPr>
      </w:pPr>
      <w:r>
        <w:rPr>
          <w:rFonts w:ascii="Times-Bold" w:hAnsi="Times-Bold" w:cs="Times-Bold"/>
          <w:b/>
          <w:bCs/>
          <w:sz w:val="16"/>
          <w:szCs w:val="16"/>
        </w:rPr>
        <w:t>I796 - SERVIZI DI SUPPORTO E ASSISTENZA TECNICA ALLA PA NEI PROGRAMMI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6"/>
          <w:szCs w:val="16"/>
        </w:rPr>
      </w:pPr>
      <w:r>
        <w:rPr>
          <w:rFonts w:ascii="Times-Bold" w:hAnsi="Times-Bold" w:cs="Times-Bold"/>
          <w:b/>
          <w:bCs/>
          <w:sz w:val="16"/>
          <w:szCs w:val="16"/>
        </w:rPr>
        <w:t>COFINANZIATI DALL’UE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Provvedimento n. 26611 15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20"/>
          <w:szCs w:val="20"/>
        </w:rPr>
      </w:pPr>
      <w:r>
        <w:rPr>
          <w:rFonts w:ascii="TrebuchetMS-OneByteIdentityH" w:hAnsi="TrebuchetMS-OneByteIdentityH" w:cs="TrebuchetMS-OneByteIdentityH"/>
          <w:sz w:val="20"/>
          <w:szCs w:val="20"/>
        </w:rPr>
        <w:t>ATTIVITA' DI SEGNALAZIONE E CONSULTIVA 16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20"/>
          <w:szCs w:val="20"/>
        </w:rPr>
      </w:pPr>
      <w:r>
        <w:rPr>
          <w:rFonts w:ascii="Times-Bold" w:hAnsi="Times-Bold" w:cs="Times-Bold"/>
          <w:b/>
          <w:bCs/>
          <w:sz w:val="16"/>
          <w:szCs w:val="16"/>
        </w:rPr>
        <w:t xml:space="preserve">AS1375 – REGIONE LAZIO - ACCORDO DI PROGRAMMA SU FERROVIE EX CONCESSE </w:t>
      </w:r>
      <w:r>
        <w:rPr>
          <w:rFonts w:ascii="TrebuchetMS-OneByteIdentityH" w:hAnsi="TrebuchetMS-OneByteIdentityH" w:cs="TrebuchetMS-OneByteIdentityH"/>
          <w:sz w:val="20"/>
          <w:szCs w:val="20"/>
        </w:rPr>
        <w:t>16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20"/>
          <w:szCs w:val="20"/>
        </w:rPr>
      </w:pPr>
      <w:r>
        <w:rPr>
          <w:rFonts w:ascii="Times-Bold" w:hAnsi="Times-Bold" w:cs="Times-Bold"/>
          <w:b/>
          <w:bCs/>
          <w:sz w:val="16"/>
          <w:szCs w:val="16"/>
        </w:rPr>
        <w:t xml:space="preserve">AS1376 - REGIONE LAZIO - ATAC/CONTRATTO DI SERVIZIO LINEE EX CONCESSE </w:t>
      </w:r>
      <w:r>
        <w:rPr>
          <w:rFonts w:ascii="TrebuchetMS-OneByteIdentityH" w:hAnsi="TrebuchetMS-OneByteIdentityH" w:cs="TrebuchetMS-OneByteIdentityH"/>
          <w:sz w:val="20"/>
          <w:szCs w:val="20"/>
        </w:rPr>
        <w:t>20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20"/>
          <w:szCs w:val="20"/>
        </w:rPr>
      </w:pPr>
      <w:r>
        <w:rPr>
          <w:rFonts w:ascii="TrebuchetMS-OneByteIdentityH" w:hAnsi="TrebuchetMS-OneByteIdentityH" w:cs="TrebuchetMS-OneByteIdentityH"/>
          <w:sz w:val="20"/>
          <w:szCs w:val="20"/>
        </w:rPr>
        <w:t>PRATICHE COMMERCIALI SCORRETTE 24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6"/>
          <w:szCs w:val="16"/>
        </w:rPr>
      </w:pPr>
      <w:r>
        <w:rPr>
          <w:rFonts w:ascii="Times-Bold" w:hAnsi="Times-Bold" w:cs="Times-Bold"/>
          <w:b/>
          <w:bCs/>
          <w:sz w:val="16"/>
          <w:szCs w:val="16"/>
        </w:rPr>
        <w:t>PS10398 - CAREMAR-SPESE EMISSIONE BIGLIETTO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Provvedimento n. 26604 24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6"/>
          <w:szCs w:val="16"/>
        </w:rPr>
      </w:pPr>
      <w:r>
        <w:rPr>
          <w:rFonts w:ascii="Times-Bold" w:hAnsi="Times-Bold" w:cs="Times-Bold"/>
          <w:b/>
          <w:bCs/>
          <w:sz w:val="16"/>
          <w:szCs w:val="16"/>
        </w:rPr>
        <w:t>PS10568 - TOREMAR-SPESE EMISSIONE BIGLIETTO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Provvedimento n. 26606 32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6"/>
          <w:szCs w:val="16"/>
        </w:rPr>
      </w:pPr>
      <w:r>
        <w:rPr>
          <w:rFonts w:ascii="Times-Bold" w:hAnsi="Times-Bold" w:cs="Times-Bold"/>
          <w:b/>
          <w:bCs/>
          <w:sz w:val="16"/>
          <w:szCs w:val="16"/>
        </w:rPr>
        <w:t>PS10517 - PRIMA ASSICURAZIONI/SPOT CONTRO AGENTI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Provvedimento n. 26612 41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6"/>
          <w:szCs w:val="16"/>
        </w:rPr>
      </w:pPr>
      <w:r>
        <w:rPr>
          <w:rFonts w:ascii="Times-Bold" w:hAnsi="Times-Bold" w:cs="Times-Bold"/>
          <w:b/>
          <w:bCs/>
          <w:sz w:val="16"/>
          <w:szCs w:val="16"/>
        </w:rPr>
        <w:t>PS10602 - VENETO BANCA-VENDITA ABBINATA FINANZIAMENTI-AZIONI</w:t>
      </w:r>
    </w:p>
    <w:p w:rsidR="006F02BF" w:rsidRDefault="006F02BF" w:rsidP="006F02BF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16"/>
          <w:szCs w:val="16"/>
        </w:rPr>
      </w:pPr>
      <w:r>
        <w:rPr>
          <w:rFonts w:ascii="Times-Italic" w:hAnsi="Times-Italic" w:cs="Times-Italic"/>
          <w:i/>
          <w:iCs/>
          <w:sz w:val="20"/>
          <w:szCs w:val="20"/>
        </w:rPr>
        <w:t>Provvedimento n. 26613 59</w:t>
      </w:r>
    </w:p>
    <w:p w:rsidR="006F02BF" w:rsidRDefault="006F02BF" w:rsidP="00FC37BE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16"/>
          <w:szCs w:val="16"/>
        </w:rPr>
      </w:pP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16"/>
          <w:szCs w:val="16"/>
        </w:rPr>
      </w:pPr>
      <w:r>
        <w:rPr>
          <w:rFonts w:ascii="TrebuchetMS-OneByteIdentityH" w:hAnsi="TrebuchetMS-OneByteIdentityH" w:cs="TrebuchetMS-OneByteIdentityH"/>
          <w:sz w:val="16"/>
          <w:szCs w:val="16"/>
        </w:rPr>
        <w:t>20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AS1376 - REGIONE LAZIO - ATAC/CONTRATTO DI SERVIZIO LINEE EX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CONCESSE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Roma, 1 marzo 2017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Presidente della Regione Lazio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L’Autorità Garante della Concorrenza e del Mercato, nella propria riunione del 14 febbraio 2017,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ha deliberato di esprimere un parere ai sensi dell’articolo 21-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bis </w:t>
      </w:r>
      <w:r>
        <w:rPr>
          <w:rFonts w:ascii="Times-Roman" w:hAnsi="Times-Roman" w:cs="Times-Roman"/>
          <w:sz w:val="20"/>
          <w:szCs w:val="20"/>
        </w:rPr>
        <w:t>della legge 10 ottobre 1990, n.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287, relativamente ai contenuti della deliberazione 30 dicembre 2016, n. 840, e allegato schema di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contratto di servizio, adottata dalla Giunta Regionale della Regione Lazio e pubblicata sul B.U.R.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del 19 gennaio 2017 (di seguito anche “Deliberazione”). Ai fini dell’esercizio dei poteri di cui al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predetto articolo 21-</w:t>
      </w:r>
      <w:r>
        <w:rPr>
          <w:rFonts w:ascii="Times-Italic" w:hAnsi="Times-Italic" w:cs="Times-Italic"/>
          <w:i/>
          <w:iCs/>
          <w:sz w:val="20"/>
          <w:szCs w:val="20"/>
        </w:rPr>
        <w:t>bis</w:t>
      </w:r>
      <w:r>
        <w:rPr>
          <w:rFonts w:ascii="Times-Roman" w:hAnsi="Times-Roman" w:cs="Times-Roman"/>
          <w:sz w:val="20"/>
          <w:szCs w:val="20"/>
        </w:rPr>
        <w:t>, l’Autorità intende svolgere le seguenti considerazioni.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 mezzo della Deliberazione la Regione ha disposto l’affidamento diretto in capo alla società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ATAC S.p.A. (“ATAC”), per il triennio 2017-2019, dei servizi di trasporto pubblico ferroviario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sulle tratte Roma-Ostia Lido, Roma-Civita Castellana-Viterbo e Roma-Giardinetti (le tre,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congiuntamente, “Linee”), da regolarsi in base allo schema di contratto di servizio alla stessa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allegato (“Contratto”).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La Deliberazione richiama a tal fine, quale propria base normativa, il Regolamento CE n.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1370/2007 del 23 ottobre 2007 relativo ai servizi pubblici di trasporto di passeggeri su strada e per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ferrovia. Al proposito, si ricorda come l’art. 5 del Reg. 1370/2007 consenta affidamenti diretti di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servizi relativi al trasporto pubblico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(a) </w:t>
      </w:r>
      <w:r>
        <w:rPr>
          <w:rFonts w:ascii="Times-Roman" w:hAnsi="Times-Roman" w:cs="Times-Roman"/>
          <w:sz w:val="20"/>
          <w:szCs w:val="20"/>
        </w:rPr>
        <w:t xml:space="preserve">secondo modalità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in house </w:t>
      </w:r>
      <w:proofErr w:type="spellStart"/>
      <w:r>
        <w:rPr>
          <w:rFonts w:ascii="Times-Italic" w:hAnsi="Times-Italic" w:cs="Times-Italic"/>
          <w:i/>
          <w:iCs/>
          <w:sz w:val="20"/>
          <w:szCs w:val="20"/>
        </w:rPr>
        <w:t>providing</w:t>
      </w:r>
      <w:proofErr w:type="spellEnd"/>
      <w:r>
        <w:rPr>
          <w:rFonts w:ascii="Times-Italic" w:hAnsi="Times-Italic" w:cs="Times-Italic"/>
          <w:i/>
          <w:iCs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>(art. 5, comma 2) 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(</w:t>
      </w:r>
      <w:r>
        <w:rPr>
          <w:rFonts w:ascii="Times-Italic" w:hAnsi="Times-Italic" w:cs="Times-Italic"/>
          <w:i/>
          <w:iCs/>
          <w:sz w:val="20"/>
          <w:szCs w:val="20"/>
        </w:rPr>
        <w:t>b</w:t>
      </w:r>
      <w:r>
        <w:rPr>
          <w:rFonts w:ascii="Times-Roman" w:hAnsi="Times-Roman" w:cs="Times-Roman"/>
          <w:sz w:val="20"/>
          <w:szCs w:val="20"/>
        </w:rPr>
        <w:t>) nel caso di servizi via ferrovia (art. 5, comma 6); in tale seconda ipotesi, nondimeno, ricorrono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alcune eccezioni operative, quali i servizi di tram e metropolitana, nonché obblighi di precisi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adempimenti formali, a partire dalla pubblicazione di un avviso sulla G.U.U.E. almeno un anno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prima dell’aggiudicazione diretta (art. 7, comma 2).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Al riguardo, si rileva in primo luogo che nella Deliberazione non vi sono riferimenti formali di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sorta alla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ratio </w:t>
      </w:r>
      <w:r>
        <w:rPr>
          <w:rFonts w:ascii="Times-Roman" w:hAnsi="Times-Roman" w:cs="Times-Roman"/>
          <w:sz w:val="20"/>
          <w:szCs w:val="20"/>
        </w:rPr>
        <w:t>dell’affidamento diretto in capo ad ATAC, mentre all’interno del Contratto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ricorrono vari riferimenti a una sua natura c.d. </w:t>
      </w:r>
      <w:r>
        <w:rPr>
          <w:rFonts w:ascii="Times-Italic" w:hAnsi="Times-Italic" w:cs="Times-Italic"/>
          <w:i/>
          <w:iCs/>
          <w:sz w:val="20"/>
          <w:szCs w:val="20"/>
        </w:rPr>
        <w:t>in house</w:t>
      </w:r>
      <w:r>
        <w:rPr>
          <w:rFonts w:ascii="Times-Roman" w:hAnsi="Times-Roman" w:cs="Times-Roman"/>
          <w:sz w:val="20"/>
          <w:szCs w:val="20"/>
        </w:rPr>
        <w:t>. Ciò avviene sin dalle premesse del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Contratto, ove da un lato si richiama la «</w:t>
      </w:r>
      <w:r>
        <w:rPr>
          <w:rFonts w:ascii="Times-Italic" w:hAnsi="Times-Italic" w:cs="Times-Italic"/>
          <w:i/>
          <w:iCs/>
          <w:sz w:val="20"/>
          <w:szCs w:val="20"/>
        </w:rPr>
        <w:t>legge 99/2009 che, all’art. 61, recepisce, anche in deroga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alla disciplina di settore, le modalità di affidamento previste dalla normativa comunitaria, e,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lastRenderedPageBreak/>
        <w:t>conseguentemente, la piena legittimità della modalità di affidamento “in house” nei confronti di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società a capitale pubblico che soddisfino i requisiti di controllo analogo da parte dell’Ente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pubblico e dell’attività prevalente svolta nei confronti dello stesso</w:t>
      </w:r>
      <w:r>
        <w:rPr>
          <w:rFonts w:ascii="Times-Roman" w:hAnsi="Times-Roman" w:cs="Times-Roman"/>
          <w:sz w:val="20"/>
          <w:szCs w:val="20"/>
        </w:rPr>
        <w:t xml:space="preserve">» (premessa </w:t>
      </w:r>
      <w:r>
        <w:rPr>
          <w:rFonts w:ascii="Times-Italic" w:hAnsi="Times-Italic" w:cs="Times-Italic"/>
          <w:i/>
          <w:iCs/>
          <w:sz w:val="20"/>
          <w:szCs w:val="20"/>
        </w:rPr>
        <w:t>2C</w:t>
      </w:r>
      <w:r>
        <w:rPr>
          <w:rFonts w:ascii="Times-Roman" w:hAnsi="Times-Roman" w:cs="Times-Roman"/>
          <w:sz w:val="20"/>
          <w:szCs w:val="20"/>
        </w:rPr>
        <w:t>), dall’altro si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afferma che «</w:t>
      </w:r>
      <w:r>
        <w:rPr>
          <w:rFonts w:ascii="Times-Italic" w:hAnsi="Times-Italic" w:cs="Times-Italic"/>
          <w:i/>
          <w:iCs/>
          <w:sz w:val="20"/>
          <w:szCs w:val="20"/>
        </w:rPr>
        <w:t>la Regione Lazio può procedere all’affidamento diretto dei servizi ferroviari oggetto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del presente contratto ad ATAC in quanto sono soddisfatti i requisiti di legge, avendo Roma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16"/>
          <w:szCs w:val="16"/>
        </w:rPr>
      </w:pPr>
      <w:r>
        <w:rPr>
          <w:rFonts w:ascii="TrebuchetMS-OneByteIdentityH" w:hAnsi="TrebuchetMS-OneByteIdentityH" w:cs="TrebuchetMS-OneByteIdentityH"/>
          <w:sz w:val="16"/>
          <w:szCs w:val="16"/>
        </w:rPr>
        <w:t>BOLLETTINO N. 20 DEL 29 MAGGIO 2017</w:t>
      </w:r>
    </w:p>
    <w:p w:rsidR="006F02BF" w:rsidRDefault="006F02BF" w:rsidP="00FC37BE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16"/>
          <w:szCs w:val="16"/>
        </w:rPr>
      </w:pP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16"/>
          <w:szCs w:val="16"/>
        </w:rPr>
      </w:pPr>
      <w:r>
        <w:rPr>
          <w:rFonts w:ascii="TrebuchetMS-OneByteIdentityH" w:hAnsi="TrebuchetMS-OneByteIdentityH" w:cs="TrebuchetMS-OneByteIdentityH"/>
          <w:sz w:val="16"/>
          <w:szCs w:val="16"/>
        </w:rPr>
        <w:t>21</w:t>
      </w:r>
    </w:p>
    <w:p w:rsidR="006F02BF" w:rsidRDefault="006F02BF" w:rsidP="00FC37B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Capitale, con deliberazione dell’Assemblea Capitolina n. 47/2012, affidato “in house” fino al 3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dicembre 2019 i servizi di TPL di metropolitana e superficie ad ATAC, società interamente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partecipata dall’Ente che esercita il c.d. “controllo analogo” e nei confronti del quale la società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svolge “attività prevalente</w:t>
      </w:r>
      <w:r>
        <w:rPr>
          <w:rFonts w:ascii="Times-Roman" w:hAnsi="Times-Roman" w:cs="Times-Roman"/>
          <w:sz w:val="20"/>
          <w:szCs w:val="20"/>
        </w:rPr>
        <w:t>”» (premessa 3).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Dalla lettura di tali passaggi parrebbe doversi intendere che la Regione ritiene perseguibile un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affidamento diretto ad ATAC della gestione delle Linee, traslando per così dire il rapporto </w:t>
      </w:r>
      <w:r>
        <w:rPr>
          <w:rFonts w:ascii="Times-Italic" w:hAnsi="Times-Italic" w:cs="Times-Italic"/>
          <w:i/>
          <w:iCs/>
          <w:sz w:val="20"/>
          <w:szCs w:val="20"/>
        </w:rPr>
        <w:t>in house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intercorrente tra la società e l’ente locale che la controlla (Roma Capitale). Tale interpretazione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non è tuttavia sostenibile: la mancanza di qualsiasi rapporto di controllo analogo da parte della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Regione su ATAC osta infatti alla perseguibilità di un affidamento diretto, quale quello oggetto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della Deliberazione, in termini di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in house </w:t>
      </w:r>
      <w:proofErr w:type="spellStart"/>
      <w:r>
        <w:rPr>
          <w:rFonts w:ascii="Times-Italic" w:hAnsi="Times-Italic" w:cs="Times-Italic"/>
          <w:i/>
          <w:iCs/>
          <w:sz w:val="20"/>
          <w:szCs w:val="20"/>
        </w:rPr>
        <w:t>providing</w:t>
      </w:r>
      <w:proofErr w:type="spellEnd"/>
      <w:r>
        <w:rPr>
          <w:rFonts w:ascii="Times-Italic" w:hAnsi="Times-Italic" w:cs="Times-Italic"/>
          <w:i/>
          <w:iCs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>ai sensi del Reg. 1370/2007.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Per altro verso si evidenzia che, ove la Regione stia provvedendo nei confronti di ATAC a un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affidamento diretto ai sensi dell’art. 5, comma 6, del Reg. 1370/2007, essa sarebbe soggetta a un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particolare sforzo motivazionale e di trasparenza, al fine di dimostrare che l’affidamento diretto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risponda a criteri di efficienza e rispetti le quattro condizioni enunciate da una nota giurisprudenza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UE</w:t>
      </w:r>
      <w:r>
        <w:rPr>
          <w:rFonts w:ascii="Times-Roman" w:hAnsi="Times-Roman" w:cs="Times-Roman"/>
          <w:sz w:val="18"/>
          <w:szCs w:val="18"/>
        </w:rPr>
        <w:t>1</w:t>
      </w:r>
      <w:r>
        <w:rPr>
          <w:rFonts w:ascii="Times-Roman" w:hAnsi="Times-Roman" w:cs="Times-Roman"/>
          <w:sz w:val="20"/>
          <w:szCs w:val="20"/>
        </w:rPr>
        <w:t>. Peraltro, quantomeno nel caso della linea Roma-Giardinetti che la stessa Regione qualifica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come «</w:t>
      </w:r>
      <w:r>
        <w:rPr>
          <w:rFonts w:ascii="Times-Italic" w:hAnsi="Times-Italic" w:cs="Times-Italic"/>
          <w:i/>
          <w:iCs/>
          <w:sz w:val="20"/>
          <w:szCs w:val="20"/>
        </w:rPr>
        <w:t>assimilabile alla tipologia di tram urbano</w:t>
      </w:r>
      <w:r>
        <w:rPr>
          <w:rFonts w:ascii="Times-Roman" w:hAnsi="Times-Roman" w:cs="Times-Roman"/>
          <w:sz w:val="20"/>
          <w:szCs w:val="20"/>
        </w:rPr>
        <w:t>», nonché della linea Roma-Ostia Lido, analoga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alla prima quanto alla tipologia di servizio, la Regione dovrebbe chiarire le ragioni per cui ritiene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che esse non rientrino nell’esclusione stabilita dall’art. 5, comma 6, del Reg. 1370/2007, per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servizi di trasporto su rotaia quali metropolitana o tram.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 ogni caso, la Regione non risulta aver provveduto ad alcuna formale pubblicazione di avviso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preventivo, così come richiesto dal predetto art. 7, comma 2, del medesimo regolamento. Infatti,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seppure ATAC attualmente gestisce i servizi in questione in regime di proroga, i contenuti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operativi dell’affidamento appaiono tali da incidere sulle caratteristiche essenziali del contratto di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servizio pubblico e, pertanto, soggetti all’onere di pubblicazione dell’avviso di </w:t>
      </w:r>
      <w:proofErr w:type="spellStart"/>
      <w:r>
        <w:rPr>
          <w:rFonts w:ascii="Times-Roman" w:hAnsi="Times-Roman" w:cs="Times-Roman"/>
          <w:sz w:val="20"/>
          <w:szCs w:val="20"/>
        </w:rPr>
        <w:t>pre</w:t>
      </w:r>
      <w:proofErr w:type="spellEnd"/>
      <w:r>
        <w:rPr>
          <w:rFonts w:ascii="Times-Roman" w:hAnsi="Times-Roman" w:cs="Times-Roman"/>
          <w:sz w:val="20"/>
          <w:szCs w:val="20"/>
        </w:rPr>
        <w:t>-informazione.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Quanto ai contenuti dell’affidamento, si rileva preliminarmente che il perimetro dei servizi in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questione risulta di difficile definizione. In primo luogo, infatti, si riscontra un difetto di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coordinamento con quanto disposto dalla deliberazione 13 dicembre 2016, n. 765, della Giunta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Regionale della Regione, posto che l’art. 2.1 del Contratto prevede che ATAC gestisca i servizi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lungo le Linee «</w:t>
      </w:r>
      <w:r>
        <w:rPr>
          <w:rFonts w:ascii="Times-Italic" w:hAnsi="Times-Italic" w:cs="Times-Italic"/>
          <w:i/>
          <w:iCs/>
          <w:sz w:val="20"/>
          <w:szCs w:val="20"/>
        </w:rPr>
        <w:t>incluso la gestione delle relative infrastrutture ferroviarie</w:t>
      </w:r>
      <w:r>
        <w:rPr>
          <w:rFonts w:ascii="Times-Roman" w:hAnsi="Times-Roman" w:cs="Times-Roman"/>
          <w:sz w:val="20"/>
          <w:szCs w:val="20"/>
        </w:rPr>
        <w:t>», ovvero proprio ciò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che, per le linee Roma-Ostia Lido e Roma-Civita Castellana-Viterbo, con la deliberazione n.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765/2016 si starebbe attribuendo alla società RFI S.p.A. Quanto alla linea Roma-Giardinetti, essa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viene richiamata nella Deliberazione nel suo complesso, mentre nel Contratto si legge che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l’affidamento vale «</w:t>
      </w:r>
      <w:r>
        <w:rPr>
          <w:rFonts w:ascii="Times-Italic" w:hAnsi="Times-Italic" w:cs="Times-Italic"/>
          <w:i/>
          <w:iCs/>
          <w:sz w:val="20"/>
          <w:szCs w:val="20"/>
        </w:rPr>
        <w:t>limitatamente alla tratta Laziali-</w:t>
      </w:r>
      <w:proofErr w:type="spellStart"/>
      <w:r>
        <w:rPr>
          <w:rFonts w:ascii="Times-Italic" w:hAnsi="Times-Italic" w:cs="Times-Italic"/>
          <w:i/>
          <w:iCs/>
          <w:sz w:val="20"/>
          <w:szCs w:val="20"/>
        </w:rPr>
        <w:t>Centocelle</w:t>
      </w:r>
      <w:proofErr w:type="spellEnd"/>
      <w:r>
        <w:rPr>
          <w:rFonts w:ascii="Times-Roman" w:hAnsi="Times-Roman" w:cs="Times-Roman"/>
          <w:sz w:val="20"/>
          <w:szCs w:val="20"/>
        </w:rPr>
        <w:t>» (art. 2), ovvero solo una sua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sezione. Tale discrasia gestionale risulta ulteriormente complicata dal riferimento, operato nella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sezione dei «</w:t>
      </w:r>
      <w:r>
        <w:rPr>
          <w:rFonts w:ascii="Times-Italic" w:hAnsi="Times-Italic" w:cs="Times-Italic"/>
          <w:i/>
          <w:iCs/>
          <w:sz w:val="20"/>
          <w:szCs w:val="20"/>
        </w:rPr>
        <w:t>tenuto conto</w:t>
      </w:r>
      <w:r>
        <w:rPr>
          <w:rFonts w:ascii="Times-Roman" w:hAnsi="Times-Roman" w:cs="Times-Roman"/>
          <w:sz w:val="20"/>
          <w:szCs w:val="20"/>
        </w:rPr>
        <w:t>» della deliberazione n. 765/2016, all’intenzione della Regione di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«</w:t>
      </w:r>
      <w:r>
        <w:rPr>
          <w:rFonts w:ascii="Times-Italic" w:hAnsi="Times-Italic" w:cs="Times-Italic"/>
          <w:i/>
          <w:iCs/>
          <w:sz w:val="20"/>
          <w:szCs w:val="20"/>
        </w:rPr>
        <w:t>procedere alla cessione della linea Roma-Giardinetti (ex Pantano) a Roma Capitale, in quanto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quest’ultima linea è ormai assimilabile alla tipologia di tram urbano, a seguito del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ridimensionamento della tratta in funzione dell’apertura della Metro C</w:t>
      </w:r>
      <w:r>
        <w:rPr>
          <w:rFonts w:ascii="Times-Roman" w:hAnsi="Times-Roman" w:cs="Times-Roman"/>
          <w:sz w:val="20"/>
          <w:szCs w:val="20"/>
        </w:rPr>
        <w:t>». Da siffatta dichiarazione,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1 Cfr. Corte di Giustizia, 23 luglio 2003, Causa C-280/00, </w:t>
      </w:r>
      <w:proofErr w:type="spellStart"/>
      <w:r>
        <w:rPr>
          <w:rFonts w:ascii="Times-Italic" w:hAnsi="Times-Italic" w:cs="Times-Italic"/>
          <w:i/>
          <w:iCs/>
          <w:sz w:val="16"/>
          <w:szCs w:val="16"/>
        </w:rPr>
        <w:t>Altmark</w:t>
      </w:r>
      <w:proofErr w:type="spellEnd"/>
      <w:r>
        <w:rPr>
          <w:rFonts w:ascii="Times-Italic" w:hAnsi="Times-Italic" w:cs="Times-Italic"/>
          <w:i/>
          <w:iCs/>
          <w:sz w:val="16"/>
          <w:szCs w:val="16"/>
        </w:rPr>
        <w:t xml:space="preserve"> Trans </w:t>
      </w:r>
      <w:proofErr w:type="spellStart"/>
      <w:r>
        <w:rPr>
          <w:rFonts w:ascii="Times-Italic" w:hAnsi="Times-Italic" w:cs="Times-Italic"/>
          <w:i/>
          <w:iCs/>
          <w:sz w:val="16"/>
          <w:szCs w:val="16"/>
        </w:rPr>
        <w:t>GmbH</w:t>
      </w:r>
      <w:proofErr w:type="spellEnd"/>
      <w:r>
        <w:rPr>
          <w:rFonts w:ascii="Times-Italic" w:hAnsi="Times-Italic" w:cs="Times-Italic"/>
          <w:i/>
          <w:iCs/>
          <w:sz w:val="16"/>
          <w:szCs w:val="16"/>
        </w:rPr>
        <w:t xml:space="preserve"> e </w:t>
      </w:r>
      <w:proofErr w:type="spellStart"/>
      <w:r>
        <w:rPr>
          <w:rFonts w:ascii="Times-Italic" w:hAnsi="Times-Italic" w:cs="Times-Italic"/>
          <w:i/>
          <w:iCs/>
          <w:sz w:val="16"/>
          <w:szCs w:val="16"/>
        </w:rPr>
        <w:t>Regierungspräsidium</w:t>
      </w:r>
      <w:proofErr w:type="spellEnd"/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Italic" w:hAnsi="Times-Italic" w:cs="Times-Italic"/>
          <w:i/>
          <w:iCs/>
          <w:sz w:val="16"/>
          <w:szCs w:val="16"/>
        </w:rPr>
        <w:t>Magdeburg/</w:t>
      </w:r>
      <w:proofErr w:type="spellStart"/>
      <w:r>
        <w:rPr>
          <w:rFonts w:ascii="Times-Italic" w:hAnsi="Times-Italic" w:cs="Times-Italic"/>
          <w:i/>
          <w:iCs/>
          <w:sz w:val="16"/>
          <w:szCs w:val="16"/>
        </w:rPr>
        <w:t>Nahverkehrsgesellschaft</w:t>
      </w:r>
      <w:proofErr w:type="spellEnd"/>
      <w:r>
        <w:rPr>
          <w:rFonts w:ascii="Times-Italic" w:hAnsi="Times-Italic" w:cs="Times-Italic"/>
          <w:i/>
          <w:iCs/>
          <w:sz w:val="16"/>
          <w:szCs w:val="16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sz w:val="16"/>
          <w:szCs w:val="16"/>
        </w:rPr>
        <w:t>Altmark</w:t>
      </w:r>
      <w:proofErr w:type="spellEnd"/>
      <w:r>
        <w:rPr>
          <w:rFonts w:ascii="Times-Italic" w:hAnsi="Times-Italic" w:cs="Times-Italic"/>
          <w:i/>
          <w:iCs/>
          <w:sz w:val="16"/>
          <w:szCs w:val="16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sz w:val="16"/>
          <w:szCs w:val="16"/>
        </w:rPr>
        <w:t>GmbH</w:t>
      </w:r>
      <w:proofErr w:type="spellEnd"/>
      <w:r>
        <w:rPr>
          <w:rFonts w:ascii="Times-Roman" w:hAnsi="Times-Roman" w:cs="Times-Roman"/>
          <w:sz w:val="16"/>
          <w:szCs w:val="16"/>
        </w:rPr>
        <w:t xml:space="preserve">, in Raccolta 2003, pag. I-7747. V. art. 7, </w:t>
      </w:r>
      <w:proofErr w:type="spellStart"/>
      <w:r>
        <w:rPr>
          <w:rFonts w:ascii="Times-Roman" w:hAnsi="Times-Roman" w:cs="Times-Roman"/>
          <w:sz w:val="16"/>
          <w:szCs w:val="16"/>
        </w:rPr>
        <w:t>parr</w:t>
      </w:r>
      <w:proofErr w:type="spellEnd"/>
      <w:r>
        <w:rPr>
          <w:rFonts w:ascii="Times-Roman" w:hAnsi="Times-Roman" w:cs="Times-Roman"/>
          <w:sz w:val="16"/>
          <w:szCs w:val="16"/>
        </w:rPr>
        <w:t>. 2 e 3, del Regolamento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(CE) n. 1370/2007 e Comunicazione della Commissione sugli orientamenti interpretativi concernenti il Regolamento (CE)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n. 1370/2007 relativo ai servizi pubblici di trasporto di passeggeri su strada e per ferrovia (2014/C 092/01), </w:t>
      </w:r>
      <w:proofErr w:type="spellStart"/>
      <w:r>
        <w:rPr>
          <w:rFonts w:ascii="Times-Roman" w:hAnsi="Times-Roman" w:cs="Times-Roman"/>
          <w:sz w:val="16"/>
          <w:szCs w:val="16"/>
        </w:rPr>
        <w:t>parr</w:t>
      </w:r>
      <w:proofErr w:type="spellEnd"/>
      <w:r>
        <w:rPr>
          <w:rFonts w:ascii="Times-Roman" w:hAnsi="Times-Roman" w:cs="Times-Roman"/>
          <w:sz w:val="16"/>
          <w:szCs w:val="16"/>
        </w:rPr>
        <w:t>. 2.3.5 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2.4.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16"/>
          <w:szCs w:val="16"/>
        </w:rPr>
      </w:pPr>
      <w:r>
        <w:rPr>
          <w:rFonts w:ascii="TrebuchetMS-OneByteIdentityH" w:hAnsi="TrebuchetMS-OneByteIdentityH" w:cs="TrebuchetMS-OneByteIdentityH"/>
          <w:sz w:val="16"/>
          <w:szCs w:val="16"/>
        </w:rPr>
        <w:t>BOLLETTINO N. 20 DEL 29 MAGGIO 2 017</w:t>
      </w:r>
    </w:p>
    <w:p w:rsidR="006F02BF" w:rsidRDefault="006F02BF" w:rsidP="00FC37BE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16"/>
          <w:szCs w:val="16"/>
        </w:rPr>
      </w:pP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16"/>
          <w:szCs w:val="16"/>
        </w:rPr>
      </w:pPr>
      <w:r>
        <w:rPr>
          <w:rFonts w:ascii="TrebuchetMS-OneByteIdentityH" w:hAnsi="TrebuchetMS-OneByteIdentityH" w:cs="TrebuchetMS-OneByteIdentityH"/>
          <w:sz w:val="16"/>
          <w:szCs w:val="16"/>
        </w:rPr>
        <w:t>22</w:t>
      </w:r>
    </w:p>
    <w:p w:rsidR="006F02BF" w:rsidRDefault="006F02BF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 linea con quanto sopra anticipato, parrebbe doversi dedurre che la linea Roma-Giardinetti ricada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 una delle eccezioni espressamente previste dal Reg. 1370/2007 alla possibilità di affidamenti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diretti.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lastRenderedPageBreak/>
        <w:t>Sempre rispetto ai contenuti dell’affidamento dei servizi lungo le Linee, si rileva come la Regione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abbia provveduto a modificare le modalità di calcolo del corrispettivo riconosciuto ad ATAC per la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gestione degli stessi rispetto al contratto di servizio precedente, passando da un importo per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vettura/km a uno per treno/km. Orbene, tale seconda unità potrebbe non essere idonea 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identificare univocamente la produzione delle Linee lungo le quali vengono utilizzati convogli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composti da numeri di vetture molto diversi tra loro; ne deriva che una linea può avere costi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gestionali molto diversi dalle altre, costi che solo l’unità di misura vettura/km riesce effettivamente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 rendere. Il riconoscimento di un corrispettivo uguale per tutte le Linee in termini di treno/km, al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contrario, potrebbe determinare una sovra-compensazione per l’erogazione di una parte dei servizi,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senza che ciò possa essere debitamente individuato da strutture di controllo.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L’Autorità coglie infine l’occasione per segnalare come le previsioni del Contratto in materia di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tutela degli utenti potrebbero determinare il persistere dei gravi disservizi già di recente segnalati –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e per i quali risulta tuttora pendente un procedimento nei confronti di ATAC ai sensi del Codice del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consumo</w:t>
      </w:r>
      <w:r>
        <w:rPr>
          <w:rFonts w:ascii="Times-Roman" w:hAnsi="Times-Roman" w:cs="Times-Roman"/>
          <w:sz w:val="18"/>
          <w:szCs w:val="18"/>
        </w:rPr>
        <w:t>2</w:t>
      </w:r>
      <w:r>
        <w:rPr>
          <w:rFonts w:ascii="Times-Roman" w:hAnsi="Times-Roman" w:cs="Times-Roman"/>
          <w:sz w:val="20"/>
          <w:szCs w:val="20"/>
        </w:rPr>
        <w:t>. Nello specifico, il Contratto prevede una serie di «</w:t>
      </w:r>
      <w:r>
        <w:rPr>
          <w:rFonts w:ascii="Times-Italic" w:hAnsi="Times-Italic" w:cs="Times-Italic"/>
          <w:i/>
          <w:iCs/>
          <w:sz w:val="20"/>
          <w:szCs w:val="20"/>
        </w:rPr>
        <w:t>livelli adeguati di servizio</w:t>
      </w:r>
      <w:r>
        <w:rPr>
          <w:rFonts w:ascii="Times-Roman" w:hAnsi="Times-Roman" w:cs="Times-Roman"/>
          <w:sz w:val="20"/>
          <w:szCs w:val="20"/>
        </w:rPr>
        <w:t>» e un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«</w:t>
      </w:r>
      <w:r>
        <w:rPr>
          <w:rFonts w:ascii="Times-Italic" w:hAnsi="Times-Italic" w:cs="Times-Italic"/>
          <w:i/>
          <w:iCs/>
          <w:sz w:val="20"/>
          <w:szCs w:val="20"/>
        </w:rPr>
        <w:t>programma di esercizio</w:t>
      </w:r>
      <w:r>
        <w:rPr>
          <w:rFonts w:ascii="Times-Roman" w:hAnsi="Times-Roman" w:cs="Times-Roman"/>
          <w:sz w:val="20"/>
          <w:szCs w:val="20"/>
        </w:rPr>
        <w:t>» (cfr. art. 4) che non è dato intendere come siano stati definiti, né paiono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utilmente assicurati: il loro mancato raggiungimento, infatti, comporterebbe per ATAC la possibile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applicazione di una penale che si mostra comunque molto contenuta rispetto all’importo del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contributo regionale (massimo 2% del totale dei corrispettivi consuntivati: cfr. art. 18.5), e come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tale inidonea a disciplinare debitamente le attività di ATAC lungo le Linee in vista di un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superamento delle gravi condizioni di disservizio esistenti.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 conclusione, l’Autorità ha riscontrato la ricorrenza di una pluralità di vizi negli atti della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Regione volti all’assegnazione ad ATAC dei servizi di trasporto pubblico lungo le Linee, in quanto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difettano: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(1) </w:t>
      </w:r>
      <w:r>
        <w:rPr>
          <w:rFonts w:ascii="Times-Roman" w:hAnsi="Times-Roman" w:cs="Times-Roman"/>
          <w:sz w:val="20"/>
          <w:szCs w:val="20"/>
        </w:rPr>
        <w:t xml:space="preserve">i requisiti per un affidamento secondo modalità di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in house </w:t>
      </w:r>
      <w:proofErr w:type="spellStart"/>
      <w:r>
        <w:rPr>
          <w:rFonts w:ascii="Times-Italic" w:hAnsi="Times-Italic" w:cs="Times-Italic"/>
          <w:i/>
          <w:iCs/>
          <w:sz w:val="20"/>
          <w:szCs w:val="20"/>
        </w:rPr>
        <w:t>providing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;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(2) </w:t>
      </w:r>
      <w:r>
        <w:rPr>
          <w:rFonts w:ascii="Times-Roman" w:hAnsi="Times-Roman" w:cs="Times-Roman"/>
          <w:sz w:val="20"/>
          <w:szCs w:val="20"/>
        </w:rPr>
        <w:t>gli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adempimenti formali di cui al Reg. 1370/2007 (pubblicazione di avviso preventivo un anno prima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dell’affidamento diretto).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Gli effetti della Deliberazione sulla concorrenza si mostrano senz’altro significativi. Da un lato,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infatti, viene escluso ogni possibile confronto concorrenziale per l’affidamento dei servizi di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trasporto pubblico lungo le Linee con un’estensione di ulteriori tre anni della gestione esistente,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dall’altro, l’assegnatario designato di tali servizi potrebbe beneficiare di sovra-compensazioni per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lo svolgimento degli stessi. Tutto ciò avverrebbe, giova ricordare, a fronte di conclamate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inefficienze da parte di ATAC nella gestione corrente dei medesimi servizi con gravi pregiudizi per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gli utenti, senza che i contenuti del nuovo Contratto si mostrino suscettibili di efficacemente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disciplinare l’impresa nel miglioramento delle proprie attività gestionali.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Ai sensi dell’articolo 21-</w:t>
      </w:r>
      <w:r>
        <w:rPr>
          <w:rFonts w:ascii="Times-Italic" w:hAnsi="Times-Italic" w:cs="Times-Italic"/>
          <w:i/>
          <w:iCs/>
          <w:sz w:val="20"/>
          <w:szCs w:val="20"/>
        </w:rPr>
        <w:t>bis</w:t>
      </w:r>
      <w:r>
        <w:rPr>
          <w:rFonts w:ascii="Times-Roman" w:hAnsi="Times-Roman" w:cs="Times-Roman"/>
          <w:sz w:val="20"/>
          <w:szCs w:val="20"/>
        </w:rPr>
        <w:t>, comma 2, della legge n. 287/90, la Regione dovrà comunicare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all’Autorità, entro il termine di sessanta giorni dalla ricezione del presente parere, le iniziative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adottate per rimuovere le violazioni della concorrenza sopra esposte. Laddove entro il suddetto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termine tali iniziative non dovessero risultare conformi ai principi concorrenziali sopra espressi,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2 Cfr. segnalazione AS1321 del 16 novembre 2016, </w:t>
      </w:r>
      <w:r>
        <w:rPr>
          <w:rFonts w:ascii="Times-Italic" w:hAnsi="Times-Italic" w:cs="Times-Italic"/>
          <w:i/>
          <w:iCs/>
          <w:sz w:val="16"/>
          <w:szCs w:val="16"/>
        </w:rPr>
        <w:t>Gestione delle linee ferroviarie ex concesse da parte di ATAC</w:t>
      </w:r>
      <w:r>
        <w:rPr>
          <w:rFonts w:ascii="Times-Roman" w:hAnsi="Times-Roman" w:cs="Times-Roman"/>
          <w:sz w:val="16"/>
          <w:szCs w:val="16"/>
        </w:rPr>
        <w:t>;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AGCM, </w:t>
      </w:r>
      <w:proofErr w:type="spellStart"/>
      <w:r>
        <w:rPr>
          <w:rFonts w:ascii="Times-Roman" w:hAnsi="Times-Roman" w:cs="Times-Roman"/>
          <w:sz w:val="16"/>
          <w:szCs w:val="16"/>
        </w:rPr>
        <w:t>proc</w:t>
      </w:r>
      <w:proofErr w:type="spellEnd"/>
      <w:r>
        <w:rPr>
          <w:rFonts w:ascii="Times-Roman" w:hAnsi="Times-Roman" w:cs="Times-Roman"/>
          <w:sz w:val="16"/>
          <w:szCs w:val="16"/>
        </w:rPr>
        <w:t xml:space="preserve">. PS10666 del 31 ottobre 2016, </w:t>
      </w:r>
      <w:r>
        <w:rPr>
          <w:rFonts w:ascii="Times-Italic" w:hAnsi="Times-Italic" w:cs="Times-Italic"/>
          <w:i/>
          <w:iCs/>
          <w:sz w:val="16"/>
          <w:szCs w:val="16"/>
        </w:rPr>
        <w:t>ATAC-Soppressione corse ferroviarie</w:t>
      </w:r>
      <w:r>
        <w:rPr>
          <w:rFonts w:ascii="Times-Roman" w:hAnsi="Times-Roman" w:cs="Times-Roman"/>
          <w:sz w:val="16"/>
          <w:szCs w:val="16"/>
        </w:rPr>
        <w:t>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16"/>
          <w:szCs w:val="16"/>
        </w:rPr>
      </w:pPr>
      <w:r>
        <w:rPr>
          <w:rFonts w:ascii="TrebuchetMS-OneByteIdentityH" w:hAnsi="TrebuchetMS-OneByteIdentityH" w:cs="TrebuchetMS-OneByteIdentityH"/>
          <w:sz w:val="16"/>
          <w:szCs w:val="16"/>
        </w:rPr>
        <w:t>BOLLETTINO N. 20 DEL 29 MAGGIO 2017</w:t>
      </w:r>
    </w:p>
    <w:p w:rsidR="006F02BF" w:rsidRDefault="006F02BF" w:rsidP="00FC37BE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16"/>
          <w:szCs w:val="16"/>
        </w:rPr>
      </w:pP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rebuchetMS-OneByteIdentityH" w:hAnsi="TrebuchetMS-OneByteIdentityH" w:cs="TrebuchetMS-OneByteIdentityH"/>
          <w:sz w:val="16"/>
          <w:szCs w:val="16"/>
        </w:rPr>
      </w:pPr>
      <w:r>
        <w:rPr>
          <w:rFonts w:ascii="TrebuchetMS-OneByteIdentityH" w:hAnsi="TrebuchetMS-OneByteIdentityH" w:cs="TrebuchetMS-OneByteIdentityH"/>
          <w:sz w:val="16"/>
          <w:szCs w:val="16"/>
        </w:rPr>
        <w:t>23</w:t>
      </w:r>
    </w:p>
    <w:p w:rsidR="006F02BF" w:rsidRDefault="006F02BF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bookmarkStart w:id="0" w:name="_GoBack"/>
      <w:bookmarkEnd w:id="0"/>
      <w:r>
        <w:rPr>
          <w:rFonts w:ascii="Times-Roman" w:hAnsi="Times-Roman" w:cs="Times-Roman"/>
          <w:sz w:val="20"/>
          <w:szCs w:val="20"/>
        </w:rPr>
        <w:t>l’Autorità potrà presentare ricorso dinanzi al tribunale amministrativo competente entro 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successivi trenta giorni.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IL PRESIDENTE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Giovanni Pitruzzella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________________________________________________________________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0"/>
          <w:szCs w:val="20"/>
        </w:rPr>
      </w:pPr>
      <w:r>
        <w:rPr>
          <w:rFonts w:ascii="Times-BoldItalic" w:hAnsi="Times-BoldItalic" w:cs="Times-BoldItalic"/>
          <w:b/>
          <w:bCs/>
          <w:i/>
          <w:iCs/>
          <w:sz w:val="20"/>
          <w:szCs w:val="20"/>
        </w:rPr>
        <w:t>Comunicato in merito all’adeguamento della Regione Lazio al parere motivato espresso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0"/>
          <w:szCs w:val="20"/>
        </w:rPr>
      </w:pPr>
      <w:r>
        <w:rPr>
          <w:rFonts w:ascii="Times-BoldItalic" w:hAnsi="Times-BoldItalic" w:cs="Times-BoldItalic"/>
          <w:b/>
          <w:bCs/>
          <w:i/>
          <w:iCs/>
          <w:sz w:val="20"/>
          <w:szCs w:val="20"/>
        </w:rPr>
        <w:t>dall’Autorità ex articolo 21-bis della legge n. 287/1990 relativo alla delibera di Giunta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0"/>
          <w:szCs w:val="20"/>
        </w:rPr>
      </w:pPr>
      <w:r>
        <w:rPr>
          <w:rFonts w:ascii="Times-BoldItalic" w:hAnsi="Times-BoldItalic" w:cs="Times-BoldItalic"/>
          <w:b/>
          <w:bCs/>
          <w:i/>
          <w:iCs/>
          <w:sz w:val="20"/>
          <w:szCs w:val="20"/>
        </w:rPr>
        <w:t>Regionale n. 840/2016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L’Autorità Garante della Concorrenza e del Mercato, nella riunione del 17 maggio 2017, ha deciso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che non impugnerà davanti al Tar competente la delibera di Giunta Regionale n. 840 del 30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dicembre 2016.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L’Autorità ha infatti ritenuto che sono venuti meno i presupposti per l’impugnazione ai sensi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dell’articolo 21-bis della legge n. 287/1990. In particolare, nel parere motivato deliberato nella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riunione del 14 febbraio 2017 ai sensi dell’articolo 21-bis della legge n. 287/1990, l’Autorità aveva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rilevato: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(1) </w:t>
      </w:r>
      <w:r>
        <w:rPr>
          <w:rFonts w:ascii="Times-Roman" w:hAnsi="Times-Roman" w:cs="Times-Roman"/>
          <w:sz w:val="20"/>
          <w:szCs w:val="20"/>
        </w:rPr>
        <w:t>l’affidamento diretto ai sensi della delibera n. 840/2016 alla società ATAC S.p.A. per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lastRenderedPageBreak/>
        <w:t>il triennio 2017-2019 dei servizi di trasporto pubblico ferroviario sulle tratte Roma-Lido, Roma-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Viterbo e Roma-Giardinetti;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(2) </w:t>
      </w:r>
      <w:r>
        <w:rPr>
          <w:rFonts w:ascii="Times-Roman" w:hAnsi="Times-Roman" w:cs="Times-Roman"/>
          <w:sz w:val="20"/>
          <w:szCs w:val="20"/>
        </w:rPr>
        <w:t>l’insussistenza dei requisiti normativi richiamati dalla Regione per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tale affidamento;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(3) </w:t>
      </w:r>
      <w:r>
        <w:rPr>
          <w:rFonts w:ascii="Times-Roman" w:hAnsi="Times-Roman" w:cs="Times-Roman"/>
          <w:sz w:val="20"/>
          <w:szCs w:val="20"/>
        </w:rPr>
        <w:t>la ricorrenza di possibili pregiudizi alla concorrenza derivanti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dall’approvazione della delibera n. 840/2016.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Sulla base di ciò l’Autorità aveva rilevato, nella condotta della Regione, una restrizione della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concorrenza, e invitato la Regione a presentare osservazioni entro 60 giorni.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 seguito del ricevimento del parere motivato dell’Autorità, la Regione Lazio, con comunicazione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pervenuta il 28 aprile 2017, ha rappresentato di aver proceduto all’annullamento in autotutela della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delibera n. 840/2016 a mezzo della delibera n. 221 del 28 aprile 2017.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Preso atto dell’annullamento della delibera n. 840/2016, l’Autorità ha disposto l’archiviazione del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procedimento ritenendo che le circostanze comunicate siano suscettibili di far venir meno i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presupposti per l’ulteriore esercizio dei poteri di cui all’articolo 21-bis della legge 10 ottobre 1990,</w:t>
      </w:r>
    </w:p>
    <w:p w:rsidR="00FC37BE" w:rsidRDefault="00FC37BE" w:rsidP="00FC37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n. 287.</w:t>
      </w:r>
    </w:p>
    <w:p w:rsidR="0049229B" w:rsidRDefault="0049229B"/>
    <w:sectPr w:rsidR="0049229B" w:rsidSect="002E182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Italic-OneByte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BE"/>
    <w:rsid w:val="0049229B"/>
    <w:rsid w:val="006F02BF"/>
    <w:rsid w:val="00F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luciano2013</dc:creator>
  <cp:lastModifiedBy>luciano2013</cp:lastModifiedBy>
  <cp:revision>2</cp:revision>
  <dcterms:created xsi:type="dcterms:W3CDTF">2017-05-29T18:18:00Z</dcterms:created>
  <dcterms:modified xsi:type="dcterms:W3CDTF">2017-05-29T18:22:00Z</dcterms:modified>
</cp:coreProperties>
</file>